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pageBreakBefore w:val="1"/>
        <w:spacing w:after="80" w:lineRule="auto"/>
        <w:jc w:val="center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sz w:val="28"/>
          <w:szCs w:val="28"/>
          <w:rtl w:val="0"/>
        </w:rPr>
        <w:t xml:space="preserve">ANEXO 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lineRule="auto"/>
        <w:jc w:val="center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sz w:val="24"/>
          <w:szCs w:val="24"/>
          <w:rtl w:val="0"/>
        </w:rPr>
        <w:t xml:space="preserve">ROTEIRO DO RELATÓRIO DE CONFORMIDADE</w:t>
      </w:r>
      <w:r w:rsidDel="00000000" w:rsidR="00000000" w:rsidRPr="00000000">
        <w:rPr>
          <w:rtl w:val="0"/>
        </w:rPr>
      </w:r>
    </w:p>
    <w:tbl>
      <w:tblPr>
        <w:tblStyle w:val="Table1"/>
        <w:tblW w:w="907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00"/>
        <w:gridCol w:w="6472"/>
        <w:tblGridChange w:id="0">
          <w:tblGrid>
            <w:gridCol w:w="2600"/>
            <w:gridCol w:w="6472"/>
          </w:tblGrid>
        </w:tblGridChange>
      </w:tblGrid>
      <w:tr>
        <w:trPr>
          <w:cantSplit w:val="0"/>
          <w:trHeight w:val="31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3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Identificação do anexo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5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Código do anexo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6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A10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Natureza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Roteiro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Fundamento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art. 17, II, “h”, e arts. 29 e 30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Preenchido ou aplicado por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Profissional independente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Momento ou prazo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No protocolo (pesquisa encerrada há no máximo noventa dias)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Forma de apresentação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Relatório, fontes e declaração de independência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spacing w:after="120" w:lineRule="auto"/>
        <w:ind w:firstLine="708"/>
        <w:jc w:val="both"/>
        <w:rPr>
          <w:rFonts w:ascii="Aptos" w:cs="Aptos" w:eastAsia="Aptos" w:hAnsi="Aptos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lineRule="auto"/>
        <w:ind w:firstLine="708"/>
        <w:jc w:val="both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O Relatório de Conformidade examinará, individualmente, a requerente, as pessoas alcançadas pelo art. 20 e os prestadores críticos, e observará a estrutura abaixo (arts. 17, II, “h”, 29 e 30). O relatório é opinativo e não transfere ao emitente a responsabilidade da requerente (art. 29, §§ 5º e 6º).</w:t>
      </w:r>
    </w:p>
    <w:p w:rsidR="00000000" w:rsidDel="00000000" w:rsidP="00000000" w:rsidRDefault="00000000" w:rsidRPr="00000000" w14:paraId="00000013">
      <w:pPr>
        <w:spacing w:after="120" w:lineRule="auto"/>
        <w:ind w:firstLine="708"/>
        <w:jc w:val="both"/>
        <w:rPr>
          <w:rFonts w:ascii="Aptos" w:cs="Aptos" w:eastAsia="Aptos" w:hAnsi="Apto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120" w:lineRule="auto"/>
        <w:ind w:left="265" w:hanging="265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rtl w:val="0"/>
        </w:rPr>
        <w:t xml:space="preserve">Identificação e escopo (art. 29, § 1º, I).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Requerente, cadeia de propriedade e controle e cada pessoa examinada, com qualificação e função; prestadores críticos examinados.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120" w:lineRule="auto"/>
        <w:ind w:left="265" w:hanging="265"/>
        <w:jc w:val="both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rtl w:val="0"/>
        </w:rPr>
        <w:t xml:space="preserve">Metodologia (II).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Procedimentos, fontes consultadas, período abrangido, limitações encontradas e data de encerramento da pesquisa por pessoa, não anterior a noventa dias corridos da data do protocolo (art. 29, §§ 2º e 4º). Fontes mínimas: certidões judiciais e fiscais; juntas comerciais e quadro de sócios e administradores no CNPJ; Diários Oficiais; cadastros públicos de sanções e de empresas inidôneas ou punidas; registros de órgãos reguladores; listas de sanções nacionais e internacionais aplicáveis; e meios de comunicação.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120" w:lineRule="auto"/>
        <w:ind w:left="272" w:hanging="272"/>
        <w:jc w:val="both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rtl w:val="0"/>
        </w:rPr>
        <w:t xml:space="preserve">Confronto documental (III).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Confronto das declarações dos Anexos VII, VIII e IX e do Anexo VI com certidões, registros públicos, documentos societários, contábeis e financeiros e histórico regulatório, com indicação das divergências.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120" w:lineRule="auto"/>
        <w:ind w:left="265" w:hanging="265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rtl w:val="0"/>
        </w:rPr>
        <w:t xml:space="preserve">Histórico regulatório (IV).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Autorizações, licenças, registros e restrições anteriores em atividade lotérica, financeira ou regulada.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120" w:lineRule="auto"/>
        <w:ind w:left="265" w:hanging="265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rtl w:val="0"/>
        </w:rPr>
        <w:t xml:space="preserve">Sanções, investigações e processos (V).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Sanções, investigações e processos judiciais e administrativos relevantes, com estágio, observado o art. 25.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120" w:lineRule="auto"/>
        <w:ind w:left="265" w:hanging="265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rtl w:val="0"/>
        </w:rPr>
        <w:t xml:space="preserve">Conflitos de interesses (VI).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Conflitos identificados, inclusive os vínculos do art. 24, VI.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120" w:lineRule="auto"/>
        <w:ind w:left="265" w:hanging="265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rtl w:val="0"/>
        </w:rPr>
        <w:t xml:space="preserve">Propriedade, controle e beneficiários finais (VII).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Reconstrução da cadeia até cada beneficiário final, com indicação expressa das lacunas remanescentes.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120" w:lineRule="auto"/>
        <w:ind w:left="265" w:hanging="265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rtl w:val="0"/>
        </w:rPr>
        <w:t xml:space="preserve">Simulação, ocultação e interposição (VIII).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Indícios identificados e respectiva avaliação.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120" w:lineRule="auto"/>
        <w:ind w:left="274" w:hanging="274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rtl w:val="0"/>
        </w:rPr>
        <w:t xml:space="preserve">Origem patrimonial e dos recursos (IX).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Análise na forma dos arts. 27 e 28, inclusive dos sinais de alerta do art. 28, § 1º.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120" w:lineRule="auto"/>
        <w:ind w:left="387" w:hanging="387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rtl w:val="0"/>
        </w:rPr>
        <w:t xml:space="preserve">Prestadores críticos (X).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Avaliação dos prestadores contratados ou em contratação, na forma do art. 45.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120" w:lineRule="auto"/>
        <w:ind w:left="387" w:hanging="387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rtl w:val="0"/>
        </w:rPr>
        <w:t xml:space="preserve">Medidas (XI).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Medidas de prevenção, de remediação ou de mitigação adotadas ou recomendadas.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120" w:lineRule="auto"/>
        <w:ind w:left="387" w:hanging="387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rtl w:val="0"/>
        </w:rPr>
        <w:t xml:space="preserve">Conclusão (XII).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Conclusão expressa e motivada, individualizada por pessoa examinada, indicando:</w:t>
      </w:r>
    </w:p>
    <w:p w:rsidR="00000000" w:rsidDel="00000000" w:rsidP="00000000" w:rsidRDefault="00000000" w:rsidRPr="00000000" w14:paraId="00000020">
      <w:pPr>
        <w:spacing w:after="120" w:lineRule="auto"/>
        <w:ind w:left="567" w:firstLine="0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(a) ausência de constatação relevante; (b) constatação relevante mitigada; ou (c) constatação relevante não mitigada, com os fundamentos.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after="120" w:lineRule="auto"/>
        <w:ind w:left="387" w:hanging="387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rtl w:val="0"/>
        </w:rPr>
        <w:t xml:space="preserve">Anexos do relatório.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Documentos de suporte, relação das fontes consultadas com data de acesso, declaração de independência e comprovação da qualificação do emitente.</w:t>
      </w:r>
    </w:p>
    <w:p w:rsidR="00000000" w:rsidDel="00000000" w:rsidP="00000000" w:rsidRDefault="00000000" w:rsidRPr="00000000" w14:paraId="00000022">
      <w:pPr>
        <w:spacing w:after="120" w:lineRule="auto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color w:val="000000"/>
          <w:rtl w:val="0"/>
        </w:rPr>
        <w:t xml:space="preserve">[A10.01] Modelo de declaração de independência do emitente (art. 30, § 4º)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20" w:lineRule="auto"/>
        <w:ind w:firstLine="708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Eu, [nome], CPF nº [__], [formação e registro profissional], responsável técnico pelo Relatório de Conformidade apresentado por [requerente], declaro que: </w:t>
      </w:r>
    </w:p>
    <w:p w:rsidR="00000000" w:rsidDel="00000000" w:rsidP="00000000" w:rsidRDefault="00000000" w:rsidRPr="00000000" w14:paraId="00000024">
      <w:pPr>
        <w:spacing w:after="120" w:lineRule="auto"/>
        <w:ind w:left="0" w:firstLine="0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(i) atendo aos requisitos do art. 30, § 1º;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20" w:lineRule="auto"/>
        <w:jc w:val="both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(ii) não incorro em nenhuma das vedações do art. 30, § 3º; (iii) minha remuneração não está vinculada ao resultado do relatório, ao deferimento do requerimento ou ao desempenho da operação; (iv) conservarei os papéis de trabalho, as evidências e as fontes por cinco anos e os disponibilizarei à LOTEP quando requisitados (art. 30, § 5º); e (v) tenho ciência das consequências do art. 30, § 7º.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20" w:lineRule="auto"/>
        <w:jc w:val="both"/>
        <w:rPr>
          <w:rFonts w:ascii="Aptos" w:cs="Aptos" w:eastAsia="Aptos" w:hAnsi="Aptos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7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00"/>
        <w:gridCol w:w="3200"/>
        <w:gridCol w:w="4572"/>
        <w:tblGridChange w:id="0">
          <w:tblGrid>
            <w:gridCol w:w="1300"/>
            <w:gridCol w:w="3200"/>
            <w:gridCol w:w="4572"/>
          </w:tblGrid>
        </w:tblGridChange>
      </w:tblGrid>
      <w:tr>
        <w:trPr>
          <w:cantSplit w:val="0"/>
          <w:trHeight w:val="31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Assinatura A10.01.S1 – Emitente do Relatório de Conformidade / Nome – CPF – Registro profissional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4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A10.01.S1.01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Nome completo e CPF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4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A10.01.S1.02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Cargo ou qualificação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1.405273437497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4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A10.01.S1.03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Local e 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4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A10.01.S1.04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spacing w:after="40" w:before="40" w:lineRule="auto"/>
              <w:rPr>
                <w:rFonts w:ascii="Aptos" w:cs="Aptos" w:eastAsia="Aptos" w:hAnsi="Aptos"/>
                <w:sz w:val="18"/>
                <w:szCs w:val="18"/>
              </w:rPr>
            </w:pPr>
            <w:r w:rsidDel="00000000" w:rsidR="00000000" w:rsidRPr="00000000">
              <w:rPr>
                <w:rFonts w:ascii="Aptos" w:cs="Aptos" w:eastAsia="Aptos" w:hAnsi="Aptos"/>
                <w:color w:val="000000"/>
                <w:sz w:val="18"/>
                <w:szCs w:val="18"/>
                <w:rtl w:val="0"/>
              </w:rPr>
              <w:t xml:space="preserve">Assinatura </w:t>
            </w:r>
            <w:r w:rsidDel="00000000" w:rsidR="00000000" w:rsidRPr="00000000">
              <w:rPr>
                <w:rFonts w:ascii="Aptos" w:cs="Aptos" w:eastAsia="Aptos" w:hAnsi="Aptos"/>
                <w:sz w:val="18"/>
                <w:szCs w:val="18"/>
                <w:rtl w:val="0"/>
              </w:rPr>
              <w:t xml:space="preserve">eletrônica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spacing w:after="40" w:before="40" w:lineRule="auto"/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keepNext w:val="1"/>
        <w:pageBreakBefore w:val="1"/>
        <w:spacing w:after="120" w:lineRule="auto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247" w:right="1247" w:header="0" w:footer="44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180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40.0" w:type="dxa"/>
        <w:left w:w="80.0" w:type="dxa"/>
        <w:bottom w:w="40.0" w:type="dxa"/>
        <w:right w:w="80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40.0" w:type="dxa"/>
        <w:left w:w="80.0" w:type="dxa"/>
        <w:bottom w:w="40.0" w:type="dxa"/>
        <w:right w:w="8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